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80"/>
        </w:tabs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Target audience analysis</w:t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Date: ____________</w:t>
      </w:r>
    </w:p>
    <w:tbl>
      <w:tblPr>
        <w:tblStyle w:val="Table1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500"/>
        <w:gridCol w:w="2010"/>
        <w:gridCol w:w="2340"/>
        <w:gridCol w:w="2520"/>
        <w:tblGridChange w:id="0">
          <w:tblGrid>
            <w:gridCol w:w="1545"/>
            <w:gridCol w:w="1500"/>
            <w:gridCol w:w="2010"/>
            <w:gridCol w:w="2340"/>
            <w:gridCol w:w="2520"/>
          </w:tblGrid>
        </w:tblGridChange>
      </w:tblGrid>
      <w:tr>
        <w:trPr>
          <w:trHeight w:val="440" w:hRule="atLeast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pos="1080"/>
              </w:tabs>
              <w:spacing w:line="2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 audiences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Current attitude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Desired attitude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Relevant offer/</w:t>
              <w:br w:type="textWrapping"/>
              <w:t xml:space="preserve">call to action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pos="1080"/>
              </w:tabs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ind w:left="0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Free template provided by Axia Public Relations</w:t>
      <w:br w:type="textWrapping"/>
      <w:t xml:space="preserve">888-PR-FIRM-8 | www.axiapr.com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4791075</wp:posOffset>
          </wp:positionH>
          <wp:positionV relativeFrom="paragraph">
            <wp:posOffset>47626</wp:posOffset>
          </wp:positionV>
          <wp:extent cx="1154430" cy="4810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4430" cy="4810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